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11AF" w:rsidRPr="00FA2A7D" w:rsidRDefault="00DF11AF" w:rsidP="00DF11AF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DF11AF" w:rsidRPr="00FA2A7D" w:rsidRDefault="00DF11AF" w:rsidP="00DF11A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DF11AF" w:rsidRDefault="00431887" w:rsidP="00DF11AF">
      <w:pPr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1887" w:rsidRDefault="00431887" w:rsidP="00DF11AF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B929B5" w:rsidRPr="00B929B5" w:rsidRDefault="00B929B5" w:rsidP="00B929B5">
      <w:pPr>
        <w:rPr>
          <w:rFonts w:ascii="Times New Roman" w:hAnsi="Times New Roman" w:cs="Times New Roman"/>
          <w:sz w:val="28"/>
          <w:szCs w:val="28"/>
        </w:rPr>
      </w:pPr>
    </w:p>
    <w:p w:rsidR="00B929B5" w:rsidRPr="00B929B5" w:rsidRDefault="00B929B5" w:rsidP="00B929B5">
      <w:pPr>
        <w:rPr>
          <w:rFonts w:ascii="Times New Roman" w:hAnsi="Times New Roman" w:cs="Times New Roman"/>
          <w:sz w:val="28"/>
          <w:szCs w:val="28"/>
        </w:rPr>
      </w:pPr>
    </w:p>
    <w:p w:rsidR="00B929B5" w:rsidRPr="00B929B5" w:rsidRDefault="00B929B5" w:rsidP="00B929B5">
      <w:pPr>
        <w:rPr>
          <w:rFonts w:ascii="Times New Roman" w:hAnsi="Times New Roman" w:cs="Times New Roman"/>
          <w:sz w:val="28"/>
          <w:szCs w:val="28"/>
        </w:rPr>
      </w:pPr>
    </w:p>
    <w:p w:rsidR="00B929B5" w:rsidRPr="00B929B5" w:rsidRDefault="00B929B5" w:rsidP="00B929B5">
      <w:pPr>
        <w:rPr>
          <w:rFonts w:ascii="Times New Roman" w:hAnsi="Times New Roman" w:cs="Times New Roman"/>
          <w:sz w:val="28"/>
          <w:szCs w:val="28"/>
        </w:rPr>
      </w:pPr>
    </w:p>
    <w:p w:rsidR="00DF11AF" w:rsidRPr="00DF11AF" w:rsidRDefault="00B929B5" w:rsidP="00B929B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F11AF">
        <w:rPr>
          <w:rFonts w:ascii="Times New Roman" w:hAnsi="Times New Roman" w:cs="Times New Roman"/>
          <w:b/>
          <w:sz w:val="28"/>
          <w:szCs w:val="28"/>
        </w:rPr>
        <w:t xml:space="preserve">РАБОЧАЯ ПРОГРАММА </w:t>
      </w:r>
    </w:p>
    <w:p w:rsidR="00B929B5" w:rsidRPr="00DF11AF" w:rsidRDefault="00B929B5" w:rsidP="00B929B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F11AF">
        <w:rPr>
          <w:rFonts w:ascii="Times New Roman" w:hAnsi="Times New Roman" w:cs="Times New Roman"/>
          <w:b/>
          <w:sz w:val="28"/>
          <w:szCs w:val="28"/>
        </w:rPr>
        <w:t xml:space="preserve">КОРРЕКЦИОННО-РАЗВИВАЮЩЕЙ </w:t>
      </w:r>
    </w:p>
    <w:p w:rsidR="00B929B5" w:rsidRPr="00DF11AF" w:rsidRDefault="00B929B5" w:rsidP="00B929B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F11AF">
        <w:rPr>
          <w:rFonts w:ascii="Times New Roman" w:hAnsi="Times New Roman" w:cs="Times New Roman"/>
          <w:b/>
          <w:sz w:val="28"/>
          <w:szCs w:val="28"/>
        </w:rPr>
        <w:t xml:space="preserve">ДЕЯТЕЛЬНОСТИ УЧИТЕЛЯ – ЛОГОПЕДА ДЛЯ </w:t>
      </w:r>
    </w:p>
    <w:p w:rsidR="00B929B5" w:rsidRPr="00DF11AF" w:rsidRDefault="00DF11AF" w:rsidP="00B929B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ЛАДИК ОЛЬГИ ДМИТРИЕВНЫ</w:t>
      </w:r>
      <w:r w:rsidR="00B929B5" w:rsidRPr="00DF11AF">
        <w:rPr>
          <w:rFonts w:ascii="Times New Roman" w:hAnsi="Times New Roman" w:cs="Times New Roman"/>
          <w:b/>
          <w:sz w:val="28"/>
          <w:szCs w:val="28"/>
        </w:rPr>
        <w:t>.</w:t>
      </w:r>
    </w:p>
    <w:p w:rsidR="00B929B5" w:rsidRPr="00DF11AF" w:rsidRDefault="00B929B5" w:rsidP="00B929B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929B5" w:rsidRPr="00B929B5" w:rsidRDefault="00B929B5" w:rsidP="00B929B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929B5" w:rsidRPr="00B929B5" w:rsidRDefault="00B929B5" w:rsidP="00B929B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929B5" w:rsidRPr="00B929B5" w:rsidRDefault="00B929B5" w:rsidP="00B929B5">
      <w:pPr>
        <w:jc w:val="right"/>
        <w:rPr>
          <w:rFonts w:ascii="Times New Roman" w:hAnsi="Times New Roman" w:cs="Times New Roman"/>
          <w:sz w:val="28"/>
          <w:szCs w:val="28"/>
        </w:rPr>
      </w:pPr>
      <w:r w:rsidRPr="00B929B5"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B929B5" w:rsidRPr="00B929B5" w:rsidRDefault="00B929B5" w:rsidP="00B929B5">
      <w:pPr>
        <w:jc w:val="right"/>
        <w:rPr>
          <w:rFonts w:ascii="Times New Roman" w:hAnsi="Times New Roman" w:cs="Times New Roman"/>
          <w:sz w:val="28"/>
          <w:szCs w:val="28"/>
        </w:rPr>
      </w:pPr>
      <w:r w:rsidRPr="00B929B5">
        <w:rPr>
          <w:rFonts w:ascii="Times New Roman" w:hAnsi="Times New Roman" w:cs="Times New Roman"/>
          <w:sz w:val="28"/>
          <w:szCs w:val="28"/>
        </w:rPr>
        <w:t>Соколова М.К.</w:t>
      </w:r>
    </w:p>
    <w:p w:rsidR="00B929B5" w:rsidRPr="00B929B5" w:rsidRDefault="00B929B5" w:rsidP="00B929B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929B5" w:rsidRPr="00B929B5" w:rsidRDefault="00B929B5" w:rsidP="00B929B5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B929B5" w:rsidRPr="00B929B5" w:rsidRDefault="00B929B5" w:rsidP="00DF11AF">
      <w:pPr>
        <w:rPr>
          <w:rFonts w:ascii="Times New Roman" w:hAnsi="Times New Roman" w:cs="Times New Roman"/>
          <w:sz w:val="28"/>
          <w:szCs w:val="28"/>
        </w:rPr>
      </w:pPr>
    </w:p>
    <w:p w:rsidR="00B929B5" w:rsidRPr="00B929B5" w:rsidRDefault="00B929B5" w:rsidP="00B929B5">
      <w:pPr>
        <w:jc w:val="both"/>
        <w:rPr>
          <w:rFonts w:ascii="Times New Roman" w:hAnsi="Times New Roman" w:cs="Times New Roman"/>
          <w:sz w:val="28"/>
          <w:szCs w:val="28"/>
        </w:rPr>
      </w:pPr>
      <w:r w:rsidRPr="00B929B5">
        <w:rPr>
          <w:rFonts w:ascii="Times New Roman" w:hAnsi="Times New Roman" w:cs="Times New Roman"/>
          <w:sz w:val="28"/>
          <w:szCs w:val="28"/>
        </w:rPr>
        <w:tab/>
      </w:r>
    </w:p>
    <w:p w:rsidR="00B929B5" w:rsidRPr="00B929B5" w:rsidRDefault="00B929B5" w:rsidP="00B929B5">
      <w:pPr>
        <w:jc w:val="both"/>
        <w:rPr>
          <w:rFonts w:ascii="Times New Roman" w:hAnsi="Times New Roman" w:cs="Times New Roman"/>
          <w:sz w:val="28"/>
          <w:szCs w:val="28"/>
        </w:rPr>
      </w:pPr>
      <w:r w:rsidRPr="00B929B5">
        <w:rPr>
          <w:rFonts w:ascii="Times New Roman" w:hAnsi="Times New Roman" w:cs="Times New Roman"/>
          <w:sz w:val="28"/>
          <w:szCs w:val="28"/>
        </w:rPr>
        <w:tab/>
      </w:r>
      <w:r w:rsidRPr="00B929B5">
        <w:rPr>
          <w:rFonts w:ascii="Times New Roman" w:hAnsi="Times New Roman" w:cs="Times New Roman"/>
          <w:sz w:val="28"/>
          <w:szCs w:val="28"/>
        </w:rPr>
        <w:tab/>
      </w:r>
      <w:r w:rsidRPr="00B929B5">
        <w:rPr>
          <w:rFonts w:ascii="Times New Roman" w:hAnsi="Times New Roman" w:cs="Times New Roman"/>
          <w:sz w:val="28"/>
          <w:szCs w:val="28"/>
        </w:rPr>
        <w:tab/>
        <w:t xml:space="preserve">      </w:t>
      </w:r>
      <w:r w:rsidR="00DF11AF">
        <w:rPr>
          <w:rFonts w:ascii="Times New Roman" w:hAnsi="Times New Roman" w:cs="Times New Roman"/>
          <w:sz w:val="28"/>
          <w:szCs w:val="28"/>
        </w:rPr>
        <w:t xml:space="preserve">         Владикавказ 2024</w:t>
      </w:r>
    </w:p>
    <w:p w:rsidR="00B929B5" w:rsidRPr="00B929B5" w:rsidRDefault="00B929B5" w:rsidP="00B929B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929B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Цели и задачи:</w:t>
      </w:r>
    </w:p>
    <w:p w:rsidR="00B929B5" w:rsidRPr="00B929B5" w:rsidRDefault="00B929B5" w:rsidP="00B929B5">
      <w:p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Рабочая программа содержит цель, а также общие и специфические задачи.</w:t>
      </w:r>
    </w:p>
    <w:p w:rsidR="00B929B5" w:rsidRPr="00B929B5" w:rsidRDefault="00B929B5" w:rsidP="00B929B5">
      <w:p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Программа коррекционной работы составлена в соответствии с Федеральным государственным образовательным стандартом начального общего образования детей с ограниченными возможностями здоровья.</w:t>
      </w:r>
    </w:p>
    <w:p w:rsidR="00B929B5" w:rsidRPr="00B929B5" w:rsidRDefault="00B929B5" w:rsidP="00B929B5">
      <w:p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B929B5">
        <w:rPr>
          <w:rFonts w:ascii="Times New Roman" w:eastAsiaTheme="minorEastAsia" w:hAnsi="Times New Roman" w:cs="Times New Roman"/>
          <w:b/>
          <w:bCs/>
          <w:sz w:val="24"/>
          <w:szCs w:val="24"/>
          <w:lang w:eastAsia="ru-RU"/>
        </w:rPr>
        <w:t>Цель</w:t>
      </w:r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- реализация системы дефектологической помощи детям с нарушениями в развитии в освоении адаптированной основной общеобразовательной программы, а также на коррекцию недостатков в психическом (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психоречевом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) развитии обучающихся и их социальную адаптацию. Программа обеспечивает сопровождение детей с ОВЗ, обучающихся в общеобразовательной школе.</w:t>
      </w:r>
    </w:p>
    <w:p w:rsidR="00B929B5" w:rsidRPr="00B929B5" w:rsidRDefault="00B929B5" w:rsidP="00B929B5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B929B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1.2. Задачи коррекционно-развивающего сопровождения на период реализации программы</w:t>
      </w:r>
    </w:p>
    <w:p w:rsidR="00B929B5" w:rsidRPr="00B929B5" w:rsidRDefault="00B929B5" w:rsidP="00B929B5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B929B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Общие задачи:</w:t>
      </w:r>
    </w:p>
    <w:p w:rsidR="00B929B5" w:rsidRPr="00B929B5" w:rsidRDefault="00B929B5" w:rsidP="00B929B5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Выявление особых образовательных потребностей обучающегося с расстройствами аутистического спектра (вариант 8.3),обусловленных структурой и глубиной имеющихся у них нарушений, недостатками в физическом и психическом развитии.</w:t>
      </w:r>
    </w:p>
    <w:p w:rsidR="00B929B5" w:rsidRPr="00B929B5" w:rsidRDefault="00B929B5" w:rsidP="00B929B5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Осуществление индивидуально ориентированной психолого-педагогической помощи </w:t>
      </w:r>
      <w:proofErr w:type="gram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обучающемуся</w:t>
      </w:r>
      <w:proofErr w:type="gram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с расстройствами аутистического спектра (вариант 8.3)с учетом особенностей психофизического развития и индивидуальных возможностей (в соответствии с рекомендациями психолого-медико-педагогической комиссии).</w:t>
      </w:r>
    </w:p>
    <w:p w:rsidR="00B929B5" w:rsidRPr="00B929B5" w:rsidRDefault="00B929B5" w:rsidP="00B929B5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Организация индивидуальных и групповых занятий для детей с учетом индивидуальных и типологических особенностей психофизического развития и индивидуальных возможностей обучающихся, разработка и реализация индивидуальных учебных планов (при необходимости).</w:t>
      </w:r>
    </w:p>
    <w:p w:rsidR="00B929B5" w:rsidRPr="00B929B5" w:rsidRDefault="00B929B5" w:rsidP="00B929B5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Реализация системы мероприятий по социальной адаптации обучающегося с расстройствами аутистического спектра (вариант 8.3).</w:t>
      </w:r>
    </w:p>
    <w:p w:rsidR="00B929B5" w:rsidRPr="00B929B5" w:rsidRDefault="00B929B5" w:rsidP="00B929B5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Оказание родителям (законным представителям) обучающегося с расстройствами аутистического спектра (вариант 8.3) консультативной и методической помощи по психолого-педагогическим, социальным и другим вопросам, связанным с их воспитанием и обучением.</w:t>
      </w:r>
    </w:p>
    <w:p w:rsidR="00B929B5" w:rsidRPr="00B929B5" w:rsidRDefault="00B929B5" w:rsidP="00B929B5">
      <w:pPr>
        <w:keepNext/>
        <w:keepLines/>
        <w:spacing w:before="40" w:after="0"/>
        <w:ind w:left="720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B929B5" w:rsidRPr="00B929B5" w:rsidRDefault="00B929B5" w:rsidP="00B929B5">
      <w:pPr>
        <w:keepNext/>
        <w:keepLines/>
        <w:spacing w:before="40" w:after="0"/>
        <w:ind w:left="720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B929B5">
        <w:rPr>
          <w:rFonts w:ascii="Times New Roman" w:eastAsia="Times New Roman" w:hAnsi="Times New Roman" w:cs="Times New Roman"/>
          <w:sz w:val="28"/>
          <w:szCs w:val="28"/>
        </w:rPr>
        <w:t>Календарно-тематическое планирование</w:t>
      </w:r>
    </w:p>
    <w:tbl>
      <w:tblPr>
        <w:tblW w:w="5000" w:type="pct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33"/>
        <w:gridCol w:w="1140"/>
        <w:gridCol w:w="2034"/>
        <w:gridCol w:w="2034"/>
        <w:gridCol w:w="1776"/>
        <w:gridCol w:w="1728"/>
      </w:tblGrid>
      <w:tr w:rsidR="00B929B5" w:rsidRPr="00B929B5" w:rsidTr="00A7501F">
        <w:tc>
          <w:tcPr>
            <w:tcW w:w="5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№ п/п </w:t>
            </w:r>
          </w:p>
        </w:tc>
        <w:tc>
          <w:tcPr>
            <w:tcW w:w="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Дата</w:t>
            </w:r>
          </w:p>
        </w:tc>
        <w:tc>
          <w:tcPr>
            <w:tcW w:w="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Тема занятия</w:t>
            </w:r>
          </w:p>
        </w:tc>
        <w:tc>
          <w:tcPr>
            <w:tcW w:w="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</w:p>
        </w:tc>
        <w:tc>
          <w:tcPr>
            <w:tcW w:w="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Коррекционные задачи</w:t>
            </w:r>
          </w:p>
        </w:tc>
        <w:tc>
          <w:tcPr>
            <w:tcW w:w="90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Виды деятельности</w:t>
            </w:r>
          </w:p>
        </w:tc>
      </w:tr>
      <w:tr w:rsidR="00B929B5" w:rsidRPr="00B929B5" w:rsidTr="00A7501F">
        <w:tc>
          <w:tcPr>
            <w:tcW w:w="0" w:type="auto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 четверть</w:t>
            </w:r>
          </w:p>
        </w:tc>
      </w:tr>
      <w:tr w:rsidR="00B929B5" w:rsidRPr="00B929B5" w:rsidTr="00A7501F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1 неделя</w:t>
            </w:r>
          </w:p>
        </w:tc>
        <w:tc>
          <w:tcPr>
            <w:tcW w:w="0" w:type="auto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Обследование уровня развития психических процессов</w:t>
            </w:r>
          </w:p>
        </w:tc>
      </w:tr>
      <w:tr w:rsidR="00B929B5" w:rsidRPr="00B929B5" w:rsidTr="00A7501F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 xml:space="preserve">2 </w:t>
            </w: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неделя</w:t>
            </w:r>
          </w:p>
        </w:tc>
        <w:tc>
          <w:tcPr>
            <w:tcW w:w="0" w:type="auto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Обследование уровня развития психических процессов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Знакомство с клеткой, ее углами, сторонами.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Знакомство с прямыми линиями в разном расположении (горизонтальная, вертикальная, наклонная) и их сочетаниями. Развитие психических процессов, моторики, графо-моторных навыков.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Упражнение на отличие точки от маленького круга, объемной от плоской фигуры.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Рисование по клеточкам.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4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Знакомство с письменными принадлежностями.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Развитие навыков владения письменными принадлежностями (карандашом, ручкой). Развитие психических процессов, моторики, графо-моторных навыков.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Обводка по трафарету (внутреннему и внешнему) и штриховка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Пальчиковая гимнастика «Пальчики здороваются»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5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Сочетанные движений глаза и руки.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Развитие координации движений руки и глаза, моторики, графо-моторных навыков.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Развитие прослеживающей функции глаз, умения выполнять движения по инструкции педагога.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Пальчиковая гимнастика «Пальчики здороваются».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Завязывание шнурков, нанизывание бусин.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6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Величина предмета.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 xml:space="preserve">Учить детей определять на ощупь величину предмета (большой — маленький — самый маленький). </w:t>
            </w: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Побуждать к речевой коммуникации.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Развитие внимания, мышления, тактильно-двигательного восприятия.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Дидактические игры «Чудесный мешочек», «Моя семья»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Различение предметов по величине.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Упражнения в раскатывании из пластилина предметов разной величины. Побуждение к речевой коммуникации. Развитие умения действовать по инструкции педагога.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Развитие внимания, мышления, тактильно-двигательного восприятия.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Игры с крупной мозаикой.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Лепка «Угощение»</w:t>
            </w:r>
          </w:p>
        </w:tc>
      </w:tr>
      <w:tr w:rsidR="00B929B5" w:rsidRPr="00B929B5" w:rsidTr="00A7501F">
        <w:tc>
          <w:tcPr>
            <w:tcW w:w="0" w:type="auto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II четверть</w:t>
            </w:r>
          </w:p>
        </w:tc>
      </w:tr>
      <w:tr w:rsidR="00B929B5" w:rsidRPr="00B929B5" w:rsidTr="00A7501F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8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Вербализация собственных ощущений.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Формирование ощущений от различных поз тела. Движения и позы верхних и нижних конечностей (сенсорная тропа для ног, «акробаты», имитация ветра).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Развитие кинестетического и кинетического восприятия.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Развитие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Дидактические игры «Море волнуется», «В домике».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9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Имитация движений.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Учить детей выполнять движения и позы головы по показу дефектолога, вербализация собственных ощущений. Выразительность движений.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Развитие кинестетического и кинетического восприятия.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Развитие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Имитация движений (оркестр, повадки зверей).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10 недел</w:t>
            </w: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 xml:space="preserve">Плоскостные геометрические </w:t>
            </w: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фигуры.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Формирование сенсорных </w:t>
            </w: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эталонов плоскостных геометрических фигур (круг, квадрат, прямоугольник, треугольник)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Звук А и буква </w:t>
            </w:r>
            <w:proofErr w:type="spellStart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Аа</w:t>
            </w:r>
            <w:proofErr w:type="spellEnd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«Рисуночное письмо». Развитие восприятия формы, величины, цвета, конструирование предметов. Развитие психических процессов. Побуждение к речевой коммуникации.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Дидактическая </w:t>
            </w: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игра «Мячик».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Обозначение формы предмета словом.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Учить детей определять и выделять форму предмета. Формирование сенсорных эталонов плоскостных геометрических фигур (круг, квадрат, прямоугольник, треугольник)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Звук</w:t>
            </w:r>
            <w:proofErr w:type="gramStart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proofErr w:type="gramEnd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 xml:space="preserve"> и буква </w:t>
            </w:r>
            <w:proofErr w:type="spellStart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Оо</w:t>
            </w:r>
            <w:proofErr w:type="spellEnd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«Рисуночное письмо». Развитие восприятия формы, величины, цвета, конструирование предметов. Развитие психических процессов. Побуждение к речевой коммуникации.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Дидактическая игра «Таня и кукла».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12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Группировка предметов и изображений.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Учить детей группировать предметы и их изображения по форме (по показу: круглые, квадратные, прямоугольные, треугольные)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Звук</w:t>
            </w:r>
            <w:proofErr w:type="gramStart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proofErr w:type="gramEnd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 xml:space="preserve"> и буква </w:t>
            </w:r>
            <w:proofErr w:type="spellStart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Оо</w:t>
            </w:r>
            <w:proofErr w:type="spellEnd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 xml:space="preserve">Развитие восприятия формы, величины, цвета, конструирование предметов. Развитие психических </w:t>
            </w: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процессов. Побуждение к речевой коммуникации.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Дидактическая игра «К каждой фигуре подбери предметы, похожие по форме».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13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Сравнение предметов.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Учить детей различать предметы по величине (большой — маленький), сравнивать два предмета по высоте и длине.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Звук</w:t>
            </w:r>
            <w:proofErr w:type="gramStart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 xml:space="preserve"> У</w:t>
            </w:r>
            <w:proofErr w:type="gramEnd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 xml:space="preserve"> и буква </w:t>
            </w:r>
            <w:proofErr w:type="spellStart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Уу</w:t>
            </w:r>
            <w:proofErr w:type="spellEnd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Развитие восприятия формы, величины, цвета, конструирование предметов. Развитие психических процессов. Побуждение к речевой коммуникации.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Дидактическая игра «Колючий мяч».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14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Ширина и толщина предметов.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Учить детей сравнивать два предмета по ширине и толщине, моделировать геометрические фигуры из со составляющих частей по образцу.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 xml:space="preserve">Звук У. и буква </w:t>
            </w:r>
            <w:proofErr w:type="spellStart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Уу</w:t>
            </w:r>
            <w:proofErr w:type="spellEnd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Развитие целостного восприятия, восприятия формы, величины, цвета, конструирование предметов. Развитие психических процессов. Побуждение к речевой коммуникации.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Дидактическая игра «Строим дом».</w:t>
            </w:r>
          </w:p>
        </w:tc>
      </w:tr>
      <w:tr w:rsidR="00B929B5" w:rsidRPr="00B929B5" w:rsidTr="00A7501F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15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Цвет предметов.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 xml:space="preserve">Знакомство с основными цветами (красный, желтый, зеленый, </w:t>
            </w: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синий, черный, белый)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Звук У. и </w:t>
            </w:r>
            <w:proofErr w:type="spellStart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букваУу</w:t>
            </w:r>
            <w:proofErr w:type="spellEnd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 xml:space="preserve">Развитие целостного </w:t>
            </w: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восприятия, восприятия формы, величины, цвета, конструирование предметов. Развитие психических процессов. Побуждение к речевой коммуникации.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Дидактические игры «Назови цвет предмета», </w:t>
            </w: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«Строим дом».</w:t>
            </w:r>
          </w:p>
        </w:tc>
        <w:tc>
          <w:tcPr>
            <w:tcW w:w="0" w:type="auto"/>
            <w:vAlign w:val="center"/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III четверть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16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Обследование предметов из 2-3 деталей.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Формирование навыков зрительного анализа и синтеза (обследование предметов, состоящих из 2—3 деталей, по инструкции дефектолога).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Звук М и буква Мм.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«Чтение» телесных и мимических движений. Развитие зрительного восприятия как средства решения логических задач и установления причинно-следственных связей.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Дидактические игры «Сравни предметы», «Фруктовая ладошка», «Какой детали не хватает» (у стола — ножки, у стула — спинки, у ведра — ручки).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17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Описание предметов.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 xml:space="preserve">Учить детей правильно воспринимать особые свойства предметов. Развитие у детей осязания, контрастных температурных ощущений: холодный — горячий). Учить детей обозначать словом свои </w:t>
            </w: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наблюдения.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Звук М и буква Мм.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«Чтение» телесных и мимических движений. Развитие восприятия.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Дидактические игры «Сравни предметы», «Фруктовая ладошка», «Какой детали не хватает» (у стола — ножки, у стула — спинки, у ведра — ручки).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18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Вкус предметов.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Вкусовые ощущения (кислый, сладкий, горький, соленый). Дидактическая игра «Узнай по вкусу» Развитие обоняния (приятный запах — неприятный запах).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 xml:space="preserve">Звук С и буква </w:t>
            </w:r>
            <w:proofErr w:type="spellStart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Сс</w:t>
            </w:r>
            <w:proofErr w:type="spellEnd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«Чтение» телесных и мимических движений. Развитие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Дидактические игры: «Зерно для воробьёв», «Обведи пальчиком», «Определи по запаху».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19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Барические ощущения.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Развитие у детей барических ощущений (восприятие чувства тяжести: тяжелый — легкий).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 xml:space="preserve">Звук С и буква </w:t>
            </w:r>
            <w:proofErr w:type="spellStart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Сс</w:t>
            </w:r>
            <w:proofErr w:type="spellEnd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«Чтение» телесных и мимических движений. Развитие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Упражнения на сравнение различных предметов по тяжести. Дидактическая игра «Моя лошадка».</w:t>
            </w:r>
          </w:p>
        </w:tc>
      </w:tr>
      <w:tr w:rsidR="00B929B5" w:rsidRPr="00B929B5" w:rsidTr="00A7501F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20 неделя</w:t>
            </w:r>
          </w:p>
        </w:tc>
        <w:tc>
          <w:tcPr>
            <w:tcW w:w="0" w:type="auto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Дополнительные каникулы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21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Звуки окружающей среды.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Учить детей выделять и различать звуки окружающей среды (стон, звон, гудение, жужжание).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 xml:space="preserve">Звук и буква </w:t>
            </w:r>
            <w:proofErr w:type="spellStart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Хх</w:t>
            </w:r>
            <w:proofErr w:type="spellEnd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«Чтение» телесных и мимических движений. Развитие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Дидактические игры: «Волшебный мешочек», «Угости друга», «Разложи фрукты», «Узнай на слух».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22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Звуки окружающей среды.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 xml:space="preserve">Учить детей различать музыкальные </w:t>
            </w: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звуки и звуки окружающей среды (шелест листьев, скрип снега, шум шин). Прослушивание музыкальных произведений.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Звук Х и буква </w:t>
            </w:r>
            <w:proofErr w:type="spellStart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Хх</w:t>
            </w:r>
            <w:proofErr w:type="spellEnd"/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 xml:space="preserve">«Чтение» </w:t>
            </w: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телесных и мимических движений. Развитие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Дидактические игры: «Волшебный </w:t>
            </w: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мешочек», «Угости друга», «Разложи фрукты».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23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Ориентировка в пространстве.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Продолжать закреплять у детей умение ориентироваться на собственном теле (правая или левая рука, правая или левая нога). Развитие умения двигаться в заданном направлении в пространстве (вперед, назад и т. д.) Развитие умения ориентироваться в помещении (классная комната), определять местоположение предметов в помещении.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Звук М и буква Мм.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«Чтение» телесных и мимических движений. Развитие ориентировки в пространстве,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Работа с индивидуальным наглядным материалом.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24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Дифференцировка звуков.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 xml:space="preserve">Учить дифференцировать звуки шумовых и музыкальных инструментов (погремушка, барабан, колокольчик, ложки, гармошка, бубен). Учить характеризовать звуки по громкости и </w:t>
            </w: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длительности (шумы, музыкальные и речевые звуки).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«Чтение» телесных и мимических движений. Развитие слухового восприятия, памяти,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Дидактическая игра «Узнай по звуку».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25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Линейный ряд.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Учить детей ориентироваться в линейном ряду (крайний предмет, первый, на третьем месте и т. д.) и на листе бумаги (центр, верх, низ, правая или левая сторона). Учить составлять на листе бумаги комбинации из полосок, плоскостных геометрических фигур, располагать предметов на листе бумаги.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Пальчиковая гимнастика. Дыхательная гимнастика.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«Чтение» телесных и мимических движений. Развитие ориентировки в пространстве,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Работа с индивидуальным наглядным материалом. Дидактическая игра «Расположи верно».</w:t>
            </w:r>
          </w:p>
        </w:tc>
      </w:tr>
      <w:tr w:rsidR="00B929B5" w:rsidRPr="00B929B5" w:rsidTr="00A7501F">
        <w:tc>
          <w:tcPr>
            <w:tcW w:w="0" w:type="auto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IV четверть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26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Сутки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Сутки. Части суток (утро, день, вечер, ночь). Последовательность событий (смена времени суток).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Пальчиковая гимнастика. Дыхательная гимнастика.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«Чтение» телесных и мимических движений. Развитие ориентировки в пространстве, временных понятий,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Упражнения на графической модели «Сутки».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27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Сутки.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Сутки. Части суток (утро, день, вечер, ночь). Последовательность событий (смена времени суток).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Пальчиковая гимнастика. Дыхательная гимнастика.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«Чтение» телесных и мимических движений. Развитие ориентировки в пространстве, временных понятий,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Упражнения на графической модели «Сутки».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28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Последовательность событий.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Закрепить у детей умения использовать понятия «сегодня», «завтра», «вчера» по назначению.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Пальчиковая гимнастика. Дыхательная гимнастика.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«Чтение» телесных и мимических движений. Развитие ориентировки в пространстве, временных понятий,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Дидактическая игра «Угадай, когда произошло событие?».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29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Неделя.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 xml:space="preserve">Закрепить у детей умения использовать понятия «вчера», «сегодня», «завтра», «неделя», «семь суток» по </w:t>
            </w: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назначению.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Порядок дней недели.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Пальчиковая гимнастика. Дыхательная гимнастика.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 xml:space="preserve">«Чтение» телесных и мимических движений. </w:t>
            </w: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Развитие ориентировки в пространстве, временных понятий,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Дидактическая игра «Угадай, когда произошло событие?».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30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Порядок дней недели.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Закрепить у детей умения использовать понятия «вчера», «сегодня», «завтра», «неделя», «семь суток» по назначению.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Порядок дней недели.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Пальчиковая гимнастика. Дыхательная гимнастика.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«Чтение» телесных и мимических движений. Развитие ориентировки в пространстве, временных понятий,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Дидактические игры «Что сначала, что потом?», «Какой день по счёту?»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31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Последовательность временных событий.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Закрепление знаний детей о таких временных понятиях как «сутки», «вчера», «сегодня», «завтра».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Пальчиковая гимнастика. Дыхательная гимнастика.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Развитие ориентировки в пространстве, временных понятий,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Дидактические игры «Что сначала, что потом?», «Какой день по счёту?», «Угадай, когда произошло событие?».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32 недел</w:t>
            </w: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Последовательнос</w:t>
            </w: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ть временных событий.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Закрепление </w:t>
            </w: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знаний детей о таких временных понятиях как «неделя», «семь дней».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Пальчиковая </w:t>
            </w: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гимнастика. Дыхательная гимнастика.</w:t>
            </w:r>
          </w:p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Развитие ориентировки в пространстве, временных понятий, зрительного и слухового восприятия, психических процессов.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Индивидуальн</w:t>
            </w: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ые задания по коррекции полученных знаний.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33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Обследование уровня развития психических процессов</w:t>
            </w: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Обследование уровня развития психических процессов</w:t>
            </w:r>
          </w:p>
        </w:tc>
      </w:tr>
      <w:tr w:rsidR="00B929B5" w:rsidRPr="00B929B5" w:rsidTr="00A7501F">
        <w:tc>
          <w:tcPr>
            <w:tcW w:w="0" w:type="auto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34 неделя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Обследование уровня развития психических процессов</w:t>
            </w:r>
          </w:p>
        </w:tc>
      </w:tr>
      <w:tr w:rsidR="00B929B5" w:rsidRPr="00B929B5" w:rsidTr="00A7501F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929B5" w:rsidRPr="00B929B5" w:rsidRDefault="00B929B5" w:rsidP="00B929B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/>
        </w:tc>
        <w:tc>
          <w:tcPr>
            <w:tcW w:w="0" w:type="auto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B929B5" w:rsidRPr="00B929B5" w:rsidRDefault="00B929B5" w:rsidP="00B929B5">
            <w:pPr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B929B5">
              <w:rPr>
                <w:rFonts w:ascii="Times New Roman" w:hAnsi="Times New Roman" w:cs="Times New Roman"/>
                <w:sz w:val="24"/>
                <w:szCs w:val="24"/>
              </w:rPr>
              <w:t>Обследование уровня развития психических процессов</w:t>
            </w:r>
          </w:p>
        </w:tc>
      </w:tr>
    </w:tbl>
    <w:p w:rsidR="00B929B5" w:rsidRPr="00B929B5" w:rsidRDefault="00B929B5" w:rsidP="00B929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929B5" w:rsidRPr="00B929B5" w:rsidRDefault="00B929B5" w:rsidP="00B929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929B5" w:rsidRPr="00B929B5" w:rsidRDefault="00B929B5" w:rsidP="00B929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929B5" w:rsidRPr="00B929B5" w:rsidRDefault="00B929B5" w:rsidP="00B929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929B5" w:rsidRPr="00B929B5" w:rsidRDefault="00B929B5" w:rsidP="00B929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929B5" w:rsidRPr="00B929B5" w:rsidRDefault="00B929B5" w:rsidP="00B929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929B5" w:rsidRPr="00B929B5" w:rsidRDefault="00B929B5" w:rsidP="00B929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929B5" w:rsidRPr="00B929B5" w:rsidRDefault="00B929B5" w:rsidP="00B929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929B5" w:rsidRPr="00B929B5" w:rsidRDefault="00B929B5" w:rsidP="00B929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929B5" w:rsidRPr="00B929B5" w:rsidRDefault="00B929B5" w:rsidP="00B929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929B5" w:rsidRPr="00B929B5" w:rsidRDefault="00B929B5" w:rsidP="00B929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929B5" w:rsidRPr="00B929B5" w:rsidRDefault="00B929B5" w:rsidP="00B929B5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929B5" w:rsidRPr="00B929B5" w:rsidRDefault="00B929B5" w:rsidP="00B929B5">
      <w:pPr>
        <w:ind w:left="1416"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929B5">
        <w:rPr>
          <w:rFonts w:ascii="Times New Roman" w:hAnsi="Times New Roman" w:cs="Times New Roman"/>
          <w:b/>
          <w:sz w:val="28"/>
          <w:szCs w:val="28"/>
        </w:rPr>
        <w:t>Список используемой литературы.</w:t>
      </w:r>
    </w:p>
    <w:p w:rsidR="00B929B5" w:rsidRPr="00B929B5" w:rsidRDefault="00B929B5" w:rsidP="00B929B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Никольская О., Фомина Т., 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Цыпотан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С. Ребенок с аутизмом в обычной школе М: Чистые Пруды 2006</w:t>
      </w:r>
    </w:p>
    <w:p w:rsidR="00B929B5" w:rsidRPr="00B929B5" w:rsidRDefault="00B929B5" w:rsidP="00B929B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Питерс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Т., Аутизм. От теоретического понимания к педагогическому воздействию, М: «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Владос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», 2002 г.</w:t>
      </w:r>
    </w:p>
    <w:p w:rsidR="00B929B5" w:rsidRPr="00B929B5" w:rsidRDefault="00B929B5" w:rsidP="00B929B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lastRenderedPageBreak/>
        <w:t>Питерс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Т., Гилберт К., Аутизм: медицинское и педагогическое воздействие М: «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Владос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», 2005</w:t>
      </w:r>
    </w:p>
    <w:p w:rsidR="00B929B5" w:rsidRPr="00B929B5" w:rsidRDefault="00B929B5" w:rsidP="00B929B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Никольская О. С.,. 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Баенская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Е. </w:t>
      </w:r>
      <w:proofErr w:type="gram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Р</w:t>
      </w:r>
      <w:proofErr w:type="gram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, Дети и подростки с аутизмом. Психологическое сопровождение М: 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Теревинф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, 2005</w:t>
      </w:r>
    </w:p>
    <w:p w:rsidR="00B929B5" w:rsidRPr="00B929B5" w:rsidRDefault="00B929B5" w:rsidP="00B929B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Никольская О. С., 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Баенская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Е. Р., 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Либлинг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М. М., Аутичный ребенок. Пути помощи М: 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Теревинф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, 2005</w:t>
      </w:r>
    </w:p>
    <w:p w:rsidR="00B929B5" w:rsidRPr="00B929B5" w:rsidRDefault="00B929B5" w:rsidP="00B929B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Морозова С.С. Аутизм: Коррекционная работа при тяжелых и осложненных формах: Пособие для учителя-дефектолога М: «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Вдадос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», 2007</w:t>
      </w:r>
    </w:p>
    <w:p w:rsidR="00B929B5" w:rsidRPr="00B929B5" w:rsidRDefault="00B929B5" w:rsidP="00B929B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Воспитание и обучение детей и подростков с тяжёлым и множественными нарушениями развития: программно-методические материалы / под ред. И.М. 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Бгажноковой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. – М.: 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 2013 (Коррекционная педагогика).</w:t>
      </w:r>
    </w:p>
    <w:p w:rsidR="00B929B5" w:rsidRPr="00B929B5" w:rsidRDefault="00B929B5" w:rsidP="00B929B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Инклюзивное образование. Настольная книга педагога, работающего с детьми с ОВЗ: методическое пособие. – М.: 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 2014</w:t>
      </w:r>
    </w:p>
    <w:p w:rsidR="00B929B5" w:rsidRPr="00B929B5" w:rsidRDefault="00B929B5" w:rsidP="00B929B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Коняева Н.П. Воспитание детей с нарушениями интеллектуального развития: учеб. пособие для студентов вузов, обучающихся по специальности «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Олигрофенопедагогика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» / Н.П. Коняева, Т.С. Никандрова. – М.: 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ВЛАДОС,2014. – 199 с. – (Коррекционная педагогика).</w:t>
      </w:r>
    </w:p>
    <w:p w:rsidR="00B929B5" w:rsidRPr="00B929B5" w:rsidRDefault="00B929B5" w:rsidP="00B929B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Коррекция речевых нарушений у детей 5-9 лет: игровые методы и приёмы: пальчиковый тренинг, сопряжённая гимнастика / авт.-сост. С.И. Токарева. – Волгоград: 2016. – 171 с.</w:t>
      </w:r>
    </w:p>
    <w:p w:rsidR="00B929B5" w:rsidRPr="00B929B5" w:rsidRDefault="00B929B5" w:rsidP="00B929B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Психологическая помощь родителям в воспитании детей с нарушениями развития: пособие для педагогов-психологов / Е.А. Савина. – М.:. 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ВЛАДОС,2008. – 223 с. – (Библиотека психолога).</w:t>
      </w:r>
    </w:p>
    <w:p w:rsidR="00B929B5" w:rsidRPr="00B929B5" w:rsidRDefault="00B929B5" w:rsidP="00B929B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Театральная педагогика в начальной школе. Поурочные разработки: метод. пособие / 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А.В.Роготнева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. – М.: 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 2015. – 135 с.</w:t>
      </w:r>
    </w:p>
    <w:p w:rsidR="00B929B5" w:rsidRPr="00B929B5" w:rsidRDefault="00B929B5" w:rsidP="00B929B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Рудик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О.С. Как помочь аутичному ребёнку: метод. пособие: книга для родителей / 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О.С.Рудик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. – М.: 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ВЛАДОС,2017. – 207 с.</w:t>
      </w:r>
    </w:p>
    <w:p w:rsidR="00B929B5" w:rsidRPr="00B929B5" w:rsidRDefault="00B929B5" w:rsidP="00B929B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Стребелева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Е.А. Коррекционно- развивающее обучение детей в процессе дидактических игр: пособие для учителя-дефектолога / Е.А. 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Стребелева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. – М.: 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 2016. – 256 с.: ил. – (Коррекционная педагогика).</w:t>
      </w:r>
    </w:p>
    <w:p w:rsidR="00B929B5" w:rsidRPr="00B929B5" w:rsidRDefault="00B929B5" w:rsidP="00B929B5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Стребелева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 Е.А. Формирование мышления у детей с отклонениями в развитии: Кн. для педагога-дефектолога / 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Е.А.Стребелева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. – М.: </w:t>
      </w:r>
      <w:proofErr w:type="spellStart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Гуманит</w:t>
      </w:r>
      <w:proofErr w:type="spellEnd"/>
      <w:r w:rsidRPr="00B929B5">
        <w:rPr>
          <w:rFonts w:ascii="Times New Roman" w:eastAsiaTheme="minorEastAsia" w:hAnsi="Times New Roman" w:cs="Times New Roman"/>
          <w:sz w:val="24"/>
          <w:szCs w:val="24"/>
          <w:lang w:eastAsia="ru-RU"/>
        </w:rPr>
        <w:t>. изд. центр ВЛАДОС, 2016. – 180 с.: ил. – (Коррекционная педагогика).</w:t>
      </w:r>
    </w:p>
    <w:p w:rsidR="00493C96" w:rsidRDefault="00493C96"/>
    <w:sectPr w:rsidR="00493C9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925B91"/>
    <w:multiLevelType w:val="multilevel"/>
    <w:tmpl w:val="1B3AE5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A94323E"/>
    <w:multiLevelType w:val="multilevel"/>
    <w:tmpl w:val="4754C3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3C96"/>
    <w:rsid w:val="00431887"/>
    <w:rsid w:val="00493C96"/>
    <w:rsid w:val="00B929B5"/>
    <w:rsid w:val="00DF11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11A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F11AF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11A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F11A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14</Pages>
  <Words>2439</Words>
  <Characters>13905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Соколова</dc:creator>
  <cp:keywords/>
  <dc:description/>
  <cp:lastModifiedBy>user</cp:lastModifiedBy>
  <cp:revision>4</cp:revision>
  <cp:lastPrinted>2024-09-24T15:08:00Z</cp:lastPrinted>
  <dcterms:created xsi:type="dcterms:W3CDTF">2024-09-08T14:49:00Z</dcterms:created>
  <dcterms:modified xsi:type="dcterms:W3CDTF">2024-10-24T09:23:00Z</dcterms:modified>
</cp:coreProperties>
</file>